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23,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23,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strong interest in the System Analyst / Software Engineer - AVP position supporting the RCO and RAY risk platforms at OCBC. With over 16 years of technology experience spanning software engineering, Unix/Linux environments, SQL optimization, and enterprise system integration, I bring a robust technical foundation and a strategic mindset. I am deeply inspired by OCBC’s commitment to building a future-ready learning organization and would welcome the opportunity to enhance your core Asset-Liability Management and Basel III risk architectures.</w:t>
        <w:br/>
        <w:t xml:space="preserve"/>
        <w:br/>
        <w:t xml:space="preserve">Throughout my career, I have successfully engineered scalable software solutions, optimized batch processing workflows, and led DevOps-driven automation using tools like Jenkins, Bitbucket, and Jira. My expertise in Oracle-SQL, microservices, and AI-powered engineering tools aligns directly with your mission to streamline data workflows and regulatory reporting. I excel at cross-functional stakeholder collaboration, technical documentation, and resolving complex L2 operational challenges. I look forward to discussing how my experience can support OCBC’s technological transformation and risk platform excellence.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