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VP / AVP, GenAI Engineer/Scientist, Innovation Group</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interest in the VP / AVP, GenAI Engineer/Scientist position within the Innovation Group at United Overseas Bank Ltd (UOB). With over 16 years of technology leadership spanning AI-powered automation, software engineering, and cloud infrastructure, I am eager to help drive UOB’s vision of operationalizing secure, compliant, and highly performant agentic applications across the bank.</w:t>
      </w:r>
    </w:p>
    <w:p>
      <w:pPr>
        <w:spacing w:after="200" w:line="276" w:lineRule="auto"/>
      </w:pPr>
      <w:r>
        <w:rPr>
          <w:rFonts w:ascii="Calibri" w:hAnsi="Calibri" w:cs="Calibri"/>
          <w:sz w:val="24"/>
        </w:rPr>
        <w:t xml:space="preserve">Throughout my career, I have designed and deployed enterprise-grade AI systems, specializing in LLM applications, retrieval-augmented generation (RAG), and prompt engineering. In my recent projects, I have successfully scaled agentic workflows, built robust evaluation frameworks for model accuracy, and monitored post-production metrics including latency and token usage. My deep hands-on expertise in Python, statistical error analysis, and AWS enables me to seamlessly integrate complex LLM solutions into existing incident and change management pipelines while ensuring complete transparency through robust logging and audit trails.</w:t>
      </w:r>
    </w:p>
    <w:p>
      <w:pPr>
        <w:spacing w:after="200" w:line="276" w:lineRule="auto"/>
      </w:pPr>
      <w:r>
        <w:rPr>
          <w:rFonts w:ascii="Calibri" w:hAnsi="Calibri" w:cs="Calibri"/>
          <w:sz w:val="24"/>
        </w:rPr>
        <w:t xml:space="preserve">I am particularly drawn to UOB’s commitment to responsible AI. Having established frameworks for bias testing and privacy leakage checks in past projects, I understand the critical importance of balancing rapid innovation with risk governance in the financial sector. I look forward to bringing my experience in agent lifecycle management and continuous process improvement to UOB, helping to expand your agentic capabilities and establish gold-standard SOPs for the bank's next-generation workflows.</w:t>
      </w:r>
    </w:p>
    <w:p>
      <w:pPr>
        <w:spacing w:after="200" w:line="276" w:lineRule="auto"/>
      </w:pPr>
      <w:r>
        <w:rPr>
          <w:rFonts w:ascii="Calibri" w:hAnsi="Calibri" w:cs="Calibri"/>
          <w:sz w:val="24"/>
        </w:rPr>
        <w:t xml:space="preserve">Thank you for your time and consideration. I welcome the opportunity to discuss how my technical expertise and leadership in generative AI can support the Innovation Group’s strategic objectives at UOB.</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