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July 27, 2026</w:t>
      </w:r>
    </w:p>
    <w:p>
      <w:pPr>
        <w:spacing w:before="240" w:after="240"/>
      </w:pPr>
      <w:r>
        <w:rPr>
          <w:rFonts w:ascii="Calibri" w:hAnsi="Calibri" w:cs="Calibri"/>
          <w:b/>
          <w:sz w:val="24"/>
        </w:rPr>
        <w:t>Re: System Solution Engineer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interest in the System Solution Engineer position at Thales in Singapore. With over 16 years of experience spanning software engineering, cloud infrastructure, and system integration, I am eager to leverage my technical expertise and commercial acumen to design, validate, and deliver robust solutions that support Thales’s mission of building a future we can all trust.</w:t>
      </w:r>
    </w:p>
    <w:p>
      <w:pPr>
        <w:spacing w:after="200" w:line="276" w:lineRule="auto"/>
      </w:pPr>
      <w:r>
        <w:rPr>
          <w:rFonts w:ascii="Calibri" w:hAnsi="Calibri" w:cs="Calibri"/>
          <w:sz w:val="24"/>
        </w:rPr>
        <w:t xml:space="preserve">Throughout my career, I have specialized in bridging the gap between business strategy and complex technical execution. My background includes designing scalable architectures on AWS, developing microservices, and leading system integrations utilizing Java and Python. Crucially, I have extensive experience translating complex customer requirements into detailed technical specifications and highly accurate total cost of ownership (TCO) models. I am well-versed in collaborating with multidisciplinary teams, managing subcontractor delivery, and presenting technical costing to stakeholders to ensure alignment and secure buy-in for critical projects.</w:t>
      </w:r>
    </w:p>
    <w:p>
      <w:pPr>
        <w:spacing w:after="200" w:line="276" w:lineRule="auto"/>
      </w:pPr>
      <w:r>
        <w:rPr>
          <w:rFonts w:ascii="Calibri" w:hAnsi="Calibri" w:cs="Calibri"/>
          <w:sz w:val="24"/>
        </w:rPr>
        <w:t xml:space="preserve">As Thales continues to innovate across cybersecurity, digital identity, and aerospace, my recent focus on AI-powered automation and API-driven proof-of-concepts will bring valuable modern technical perspectives to your engineering pipeline. I pride myself on my ability to analyze operational risks, outline clear integration assumptions, and execute Variation Orders effectively, ensuring projects are delivered on time, within budget, and to the highest standards of compliance.</w:t>
      </w:r>
    </w:p>
    <w:p>
      <w:pPr>
        <w:spacing w:after="200" w:line="276" w:lineRule="auto"/>
      </w:pPr>
      <w:r>
        <w:rPr>
          <w:rFonts w:ascii="Calibri" w:hAnsi="Calibri" w:cs="Calibri"/>
          <w:sz w:val="24"/>
        </w:rPr>
        <w:t xml:space="preserve">I am excited about the opportunity to contribute to Thales’s legacy of innovation in Singapore. I welcome the opportunity to discuss how my system engineering background and cost-modeling expertise can drive value for your team.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